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AF" w:rsidRDefault="00E63EAF" w:rsidP="00E63EA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63EAF" w:rsidRPr="00037A78" w:rsidRDefault="00E63EAF" w:rsidP="00E63E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78">
        <w:rPr>
          <w:rFonts w:ascii="Times New Roman" w:eastAsia="Calibri" w:hAnsi="Times New Roman" w:cs="Times New Roman"/>
          <w:b/>
          <w:sz w:val="24"/>
          <w:szCs w:val="24"/>
        </w:rPr>
        <w:t>Obrazloženje</w:t>
      </w:r>
    </w:p>
    <w:p w:rsidR="00E63EAF" w:rsidRPr="00037A78" w:rsidRDefault="00E63EAF" w:rsidP="00E63E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EAF" w:rsidRPr="00354173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73">
        <w:rPr>
          <w:rFonts w:ascii="Times New Roman" w:eastAsia="Calibri" w:hAnsi="Times New Roman" w:cs="Times New Roman"/>
          <w:sz w:val="24"/>
          <w:szCs w:val="24"/>
        </w:rPr>
        <w:t>Sukladno članku 10. stavku 1. točki g) Uredbe o mjerama zaštite od ionizirajućeg zračenja te postupanjima u slučaju izvanrednog događaja (Narodne novine 24/18, 70/20 i 114/21; u daljnjem tekstu: Uredba) izvršna i predstavnička tijela jedinica lokalne i područne (regionalne) samouprave su sudionici sustava pripravnosti i odgovora na izvanredni događaj. Uredba je donesena na temelju Zakona o radiološkoj i nuklearnoj sigurnosti (Narodne novine 141/13, 39/15, 130/17, 118/18, 21/22 i 114/22).</w:t>
      </w:r>
    </w:p>
    <w:p w:rsidR="00E63EA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78">
        <w:rPr>
          <w:rFonts w:ascii="Times New Roman" w:eastAsia="Calibri" w:hAnsi="Times New Roman" w:cs="Times New Roman"/>
          <w:sz w:val="24"/>
          <w:szCs w:val="24"/>
        </w:rPr>
        <w:t>Članak 11. stavak 1. Uredbe</w:t>
      </w:r>
      <w:r w:rsidRPr="00037A78">
        <w:rPr>
          <w:rFonts w:ascii="Calibri" w:eastAsia="Calibri" w:hAnsi="Calibri" w:cs="Times New Roman"/>
        </w:rPr>
        <w:t xml:space="preserve"> </w:t>
      </w:r>
      <w:r w:rsidRPr="00037A78">
        <w:rPr>
          <w:rFonts w:ascii="Times New Roman" w:eastAsia="Calibri" w:hAnsi="Times New Roman" w:cs="Times New Roman"/>
          <w:sz w:val="24"/>
          <w:szCs w:val="24"/>
        </w:rPr>
        <w:t>propisuje da su sudionici sustava pripravnosti i odgovora na izvanredni događaj obvezni izraditi, samostalno ili u suradnji s drugim sudionicima, vlastite planove pripravnosti i odgovora na radiološki ili nuklearni izvanredni događaj sukladno njihovim nadležnostima u sustavu pripravnosti i odgovora na izvanredni događaj sukladno Planu pripravnosti i odgovora Republike Hrvatske na radiološki ili nuklearni izvanredni događaj. Članak 11. stavak 2. Uredbe propisuje da navedene planove odobrava Ministarstvo unutarnjih poslova.</w:t>
      </w:r>
    </w:p>
    <w:p w:rsidR="000C2BB6" w:rsidRDefault="000C2BB6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prijedlogu Plana </w:t>
      </w: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pripravnosti i odgovora Grada Zagreba </w:t>
      </w:r>
      <w:r>
        <w:rPr>
          <w:rFonts w:ascii="Times New Roman" w:eastAsia="Calibri" w:hAnsi="Times New Roman" w:cs="Times New Roman"/>
          <w:sz w:val="24"/>
          <w:szCs w:val="24"/>
        </w:rPr>
        <w:t>na radiološki i nuklearni izvanredni događaj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provedeno je savjetovanje sa zainteresiranom javnosti u trajanju od 30 dana u razdoblju od 23. srpnja do 21. kolovoza 2024. te na isti nije bilo iznesenih primjedbi niti prijedloga.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3EAF" w:rsidRPr="0096481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Po donošenju Plana pripravnosti i odgovora Grada Zagreba </w:t>
      </w:r>
      <w:r>
        <w:rPr>
          <w:rFonts w:ascii="Times New Roman" w:eastAsia="Calibri" w:hAnsi="Times New Roman" w:cs="Times New Roman"/>
          <w:sz w:val="24"/>
          <w:szCs w:val="24"/>
        </w:rPr>
        <w:t>na radiološki i nuklearni izvanredni događaj</w:t>
      </w:r>
      <w:r w:rsidRPr="0096481F">
        <w:rPr>
          <w:rFonts w:ascii="Times New Roman" w:eastAsia="Calibri" w:hAnsi="Times New Roman" w:cs="Times New Roman"/>
          <w:sz w:val="24"/>
          <w:szCs w:val="24"/>
        </w:rPr>
        <w:t>, Grad Zagreb će putem nadležnog gradskog upravnog tijela pribaviti odobrenje Ministarstva unutarnjih poslova sukladno članku 11. stavku 2. Uredbe.</w:t>
      </w:r>
    </w:p>
    <w:p w:rsidR="00E63EAF" w:rsidRPr="0096481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>41. točkom 34</w:t>
      </w:r>
      <w:r w:rsidRPr="0096481F">
        <w:rPr>
          <w:rFonts w:ascii="Times New Roman" w:hAnsi="Times New Roman" w:cs="Times New Roman"/>
          <w:sz w:val="24"/>
          <w:szCs w:val="24"/>
        </w:rPr>
        <w:t>. Statuta Grada Zagreba</w:t>
      </w:r>
      <w:r w:rsidRPr="0096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81F">
        <w:rPr>
          <w:rFonts w:ascii="Times New Roman" w:hAnsi="Times New Roman" w:cs="Times New Roman"/>
          <w:sz w:val="24"/>
          <w:szCs w:val="24"/>
        </w:rPr>
        <w:t xml:space="preserve">(Službeni glasnik Grada Zagreba 23/16, 2/18, 23/18, 3/20, 3/21, 11/21 - pročišćeni tekst i 16/22) propisano je da Gradska skupština Grada Zagreba </w:t>
      </w:r>
      <w:r w:rsidRPr="009648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1969">
        <w:rPr>
          <w:rFonts w:ascii="Times New Roman" w:hAnsi="Times New Roman" w:cs="Times New Roman"/>
          <w:sz w:val="24"/>
          <w:szCs w:val="24"/>
          <w:shd w:val="clear" w:color="auto" w:fill="FFFFFF"/>
        </w:rPr>
        <w:t>ob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avlja i druge poslove određene S</w:t>
      </w:r>
      <w:r w:rsidRPr="00E61969">
        <w:rPr>
          <w:rFonts w:ascii="Times New Roman" w:hAnsi="Times New Roman" w:cs="Times New Roman"/>
          <w:sz w:val="24"/>
          <w:szCs w:val="24"/>
          <w:shd w:val="clear" w:color="auto" w:fill="FFFFFF"/>
        </w:rPr>
        <w:t>tatutom, zakonom i drugim propisima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3EAF" w:rsidRPr="0096481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1F">
        <w:rPr>
          <w:rFonts w:ascii="Times New Roman" w:eastAsia="Calibri" w:hAnsi="Times New Roman" w:cs="Times New Roman"/>
          <w:sz w:val="24"/>
          <w:szCs w:val="24"/>
        </w:rPr>
        <w:t>Slijedom navedenog, predlaže se Gradskoj skupštini Grada Zagreba donošenje</w:t>
      </w:r>
      <w:r w:rsidRPr="0096481F">
        <w:rPr>
          <w:rFonts w:ascii="Calibri" w:eastAsia="Calibri" w:hAnsi="Calibri" w:cs="Times New Roman"/>
        </w:rPr>
        <w:t xml:space="preserve"> </w:t>
      </w: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Plana pripravnosti i odgovora Grada Zagreba </w:t>
      </w:r>
      <w:r>
        <w:rPr>
          <w:rFonts w:ascii="Times New Roman" w:eastAsia="Calibri" w:hAnsi="Times New Roman" w:cs="Times New Roman"/>
          <w:sz w:val="24"/>
          <w:szCs w:val="24"/>
        </w:rPr>
        <w:t>na radiološki i nuklearni izvanredni događaj</w:t>
      </w: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 kao u predloženom tekstu. </w:t>
      </w:r>
    </w:p>
    <w:p w:rsidR="00E63EAF" w:rsidRPr="00725882" w:rsidRDefault="00E63EAF" w:rsidP="00E63E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EAF" w:rsidRPr="00037A78" w:rsidRDefault="00E63EAF" w:rsidP="00E63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C11" w:rsidRDefault="00F96C11"/>
    <w:sectPr w:rsidR="00F96C11" w:rsidSect="007F492C">
      <w:footerReference w:type="default" r:id="rId6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5F" w:rsidRDefault="00304B5F">
      <w:pPr>
        <w:spacing w:after="0" w:line="240" w:lineRule="auto"/>
      </w:pPr>
      <w:r>
        <w:separator/>
      </w:r>
    </w:p>
  </w:endnote>
  <w:endnote w:type="continuationSeparator" w:id="0">
    <w:p w:rsidR="00304B5F" w:rsidRDefault="0030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94" w:rsidRDefault="00304B5F">
    <w:pPr>
      <w:pStyle w:val="Footer"/>
      <w:jc w:val="center"/>
    </w:pPr>
  </w:p>
  <w:p w:rsidR="00892E94" w:rsidRDefault="00304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5F" w:rsidRDefault="00304B5F">
      <w:pPr>
        <w:spacing w:after="0" w:line="240" w:lineRule="auto"/>
      </w:pPr>
      <w:r>
        <w:separator/>
      </w:r>
    </w:p>
  </w:footnote>
  <w:footnote w:type="continuationSeparator" w:id="0">
    <w:p w:rsidR="00304B5F" w:rsidRDefault="0030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AF"/>
    <w:rsid w:val="000C2BB6"/>
    <w:rsid w:val="00304B5F"/>
    <w:rsid w:val="00E63EAF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C862"/>
  <w15:chartTrackingRefBased/>
  <w15:docId w15:val="{6E07ADF9-20C1-4D67-9973-67BA3EC2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2</cp:revision>
  <dcterms:created xsi:type="dcterms:W3CDTF">2024-07-22T12:50:00Z</dcterms:created>
  <dcterms:modified xsi:type="dcterms:W3CDTF">2024-08-22T11:13:00Z</dcterms:modified>
</cp:coreProperties>
</file>